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8E4974" w:rsidRPr="00F141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7420610</wp:posOffset>
            </wp:positionH>
            <wp:positionV relativeFrom="topMargin">
              <wp:align>bottom</wp:align>
            </wp:positionV>
            <wp:extent cx="2143125" cy="10750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05416" name="LPP JPEG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46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5781675</wp:posOffset>
                </wp:positionH>
                <wp:positionV relativeFrom="paragraph">
                  <wp:posOffset>78740</wp:posOffset>
                </wp:positionV>
                <wp:extent cx="2727960" cy="1115949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115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B24" w:rsidRPr="000F09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F09D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Public Equities: Sector</w:t>
                            </w:r>
                            <w:r w:rsidR="000D598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al</w:t>
                            </w:r>
                            <w:r w:rsidRPr="000F09D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Exposure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14.8pt;height:21.25pt;margin-top:6.2pt;margin-left:455.25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 stroked="f">
                <v:textbox style="mso-fit-shape-to-text:t">
                  <w:txbxContent>
                    <w:p w:rsidR="00BB7B24" w:rsidRPr="000F09D4">
                      <w:pPr>
                        <w:rPr>
                          <w:sz w:val="22"/>
                          <w:szCs w:val="22"/>
                        </w:rPr>
                      </w:pPr>
                      <w:r w:rsidRPr="000F09D4">
                        <w:rPr>
                          <w:rFonts w:ascii="Verdana" w:hAnsi="Verdana"/>
                          <w:sz w:val="22"/>
                          <w:szCs w:val="22"/>
                        </w:rPr>
                        <w:t>Public Equities: Sector</w:t>
                      </w:r>
                      <w:r w:rsidR="000D5987">
                        <w:rPr>
                          <w:rFonts w:ascii="Verdana" w:hAnsi="Verdana"/>
                          <w:sz w:val="22"/>
                          <w:szCs w:val="22"/>
                        </w:rPr>
                        <w:t>al</w:t>
                      </w:r>
                      <w:r w:rsidRPr="000F09D4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Exposure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6464" w:rsidR="00B9646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7951</wp:posOffset>
                </wp:positionV>
                <wp:extent cx="1669415" cy="1115949"/>
                <wp:effectExtent l="0" t="0" r="6985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115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464" w:rsidRPr="00B96464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B9646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Portfolio Overview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31.45pt;height:110.6pt;margin-top:0.65pt;margin-left:-6.85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9504" stroked="f">
                <v:textbox style="mso-fit-shape-to-text:t">
                  <w:txbxContent>
                    <w:p w:rsidR="00B96464" w:rsidRPr="00B96464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B96464">
                        <w:rPr>
                          <w:rFonts w:ascii="Verdana" w:hAnsi="Verdana"/>
                          <w:sz w:val="22"/>
                          <w:szCs w:val="22"/>
                        </w:rPr>
                        <w:t>Portfolio 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4974" w:rsidR="008E4974">
        <w:rPr>
          <w:rFonts w:ascii="Verdana" w:hAnsi="Verdana"/>
        </w:rPr>
        <w:t xml:space="preserve"> </w:t>
      </w:r>
    </w:p>
    <w:p w:rsidR="008E4974" w:rsidRPr="008E4974">
      <w:pPr>
        <w:rPr>
          <w:rFonts w:ascii="Verdana" w:hAnsi="Verdana"/>
        </w:rPr>
      </w:pPr>
    </w:p>
    <w:p w:rsidR="00FD4A6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5398936</wp:posOffset>
            </wp:positionH>
            <wp:positionV relativeFrom="paragraph">
              <wp:posOffset>35422</wp:posOffset>
            </wp:positionV>
            <wp:extent cx="3593457" cy="3115945"/>
            <wp:effectExtent l="0" t="0" r="762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73526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" t="7005" r="978" b="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99" cy="31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291840" cy="1327868"/>
            <wp:effectExtent l="0" t="0" r="3810" b="571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493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33" cy="1349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A6D"/>
    <w:p w:rsidR="007557B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15903</wp:posOffset>
            </wp:positionH>
            <wp:positionV relativeFrom="paragraph">
              <wp:posOffset>37410</wp:posOffset>
            </wp:positionV>
            <wp:extent cx="2694719" cy="2021039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39822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9522" r="9310" b="1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80" cy="202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AE5"/>
    <w:p w:rsidR="008E4974" w:rsidRPr="007557B2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2182495</wp:posOffset>
                </wp:positionH>
                <wp:positionV relativeFrom="paragraph">
                  <wp:posOffset>35560</wp:posOffset>
                </wp:positionV>
                <wp:extent cx="3068955" cy="1115949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115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9D4" w:rsidRPr="000F09D4" w:rsidP="00C06AE5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0F09D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Public Equities: Geographical Exposure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width:241.65pt;height:21.25pt;margin-top:2.8pt;margin-left:171.85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4384" stroked="f">
                <v:textbox style="mso-fit-shape-to-text:t">
                  <w:txbxContent>
                    <w:p w:rsidR="000F09D4" w:rsidRPr="000F09D4" w:rsidP="00C06AE5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0F09D4">
                        <w:rPr>
                          <w:rFonts w:ascii="Verdana" w:hAnsi="Verdana"/>
                          <w:sz w:val="22"/>
                          <w:szCs w:val="22"/>
                        </w:rPr>
                        <w:t>Public Equities: Geographical Exposure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7B2">
        <w:rPr>
          <w:rFonts w:ascii="Verdana" w:hAnsi="Verdana"/>
        </w:rPr>
        <w:t xml:space="preserve">                      </w:t>
      </w:r>
      <w:r>
        <w:rPr>
          <w:rFonts w:ascii="Verdana" w:hAnsi="Verdana"/>
        </w:rPr>
        <w:t xml:space="preserve"> </w:t>
      </w:r>
    </w:p>
    <w:p w:rsidR="008E4974"/>
    <w:p w:rsidR="008E4974"/>
    <w:p w:rsidR="001D096F"/>
    <w:p w:rsidR="001D096F"/>
    <w:p w:rsidR="001D096F"/>
    <w:p w:rsidR="001D096F"/>
    <w:p w:rsidR="000F09D4" w:rsidP="000F09D4">
      <w:pPr>
        <w:rPr>
          <w:rFonts w:ascii="Verdana" w:hAnsi="Verdana"/>
        </w:rPr>
      </w:pPr>
    </w:p>
    <w:p w:rsidR="000F09D4" w:rsidP="000F09D4">
      <w:pPr>
        <w:rPr>
          <w:rFonts w:ascii="Verdana" w:hAnsi="Verdana"/>
        </w:rPr>
      </w:pPr>
    </w:p>
    <w:p w:rsidR="001D09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2130425</wp:posOffset>
                </wp:positionH>
                <wp:positionV relativeFrom="paragraph">
                  <wp:posOffset>99695</wp:posOffset>
                </wp:positionV>
                <wp:extent cx="5056505" cy="1115949"/>
                <wp:effectExtent l="0" t="0" r="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1115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E5" w:rsidRPr="00F16760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1676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Public Equities: Top </w:t>
                            </w:r>
                            <w:r w:rsidRPr="00F16760" w:rsidR="00470A11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10 </w:t>
                            </w:r>
                            <w:r w:rsidRPr="00F1676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Holdings</w:t>
                            </w:r>
                            <w:r w:rsidRPr="00F16760" w:rsidR="00A2603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(LPP Global Equities Fund)</w:t>
                            </w:r>
                            <w:r w:rsidRPr="00F1676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width:398.15pt;height:110.6pt;margin-top:7.85pt;margin-left:167.75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6432" stroked="f">
                <v:textbox style="mso-fit-shape-to-text:t">
                  <w:txbxContent>
                    <w:p w:rsidR="00C06AE5" w:rsidRPr="00F16760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1676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Public Equities: Top </w:t>
                      </w:r>
                      <w:r w:rsidRPr="00F16760" w:rsidR="00470A11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10 </w:t>
                      </w:r>
                      <w:r w:rsidRPr="00F16760">
                        <w:rPr>
                          <w:rFonts w:ascii="Verdana" w:hAnsi="Verdana"/>
                          <w:sz w:val="22"/>
                          <w:szCs w:val="22"/>
                        </w:rPr>
                        <w:t>Holdings</w:t>
                      </w:r>
                      <w:r w:rsidRPr="00F16760" w:rsidR="00A2603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(LPP Global Equities Fund)</w:t>
                      </w:r>
                      <w:r w:rsidRPr="00F1676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09D4" w:rsidP="00C77F62">
      <w:r>
        <w:t xml:space="preserve">                                                                                                                </w:t>
      </w:r>
    </w:p>
    <w:p w:rsidR="000F09D4" w:rsidP="00C77F62">
      <w:pPr>
        <w:rPr>
          <w:rFonts w:ascii="Verdana" w:hAnsi="Verdana"/>
        </w:rPr>
      </w:pPr>
      <w:r w:rsidRPr="00C06AE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1447137</wp:posOffset>
            </wp:positionH>
            <wp:positionV relativeFrom="paragraph">
              <wp:posOffset>11844</wp:posOffset>
            </wp:positionV>
            <wp:extent cx="6265628" cy="1629410"/>
            <wp:effectExtent l="0" t="0" r="190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01103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67" cy="16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9D4" w:rsidP="00C77F62">
      <w:pPr>
        <w:rPr>
          <w:rFonts w:ascii="Verdana" w:hAnsi="Verdana"/>
        </w:rPr>
      </w:pPr>
    </w:p>
    <w:p w:rsidR="000F09D4" w:rsidP="00C77F62">
      <w:pPr>
        <w:rPr>
          <w:rFonts w:ascii="Verdana" w:hAnsi="Verdana"/>
        </w:rPr>
      </w:pPr>
    </w:p>
    <w:p w:rsidR="000F09D4" w:rsidP="00C77F62">
      <w:pPr>
        <w:rPr>
          <w:rFonts w:ascii="Verdana" w:hAnsi="Verdana"/>
        </w:rPr>
      </w:pPr>
    </w:p>
    <w:p w:rsidR="000F09D4" w:rsidP="00C77F62">
      <w:pPr>
        <w:rPr>
          <w:rFonts w:ascii="Verdana" w:hAnsi="Verdana"/>
        </w:rPr>
      </w:pPr>
    </w:p>
    <w:p w:rsidR="008A51C0" w:rsidRPr="008A51C0" w:rsidP="00C77F62">
      <w:pPr>
        <w:rPr>
          <w:rFonts w:ascii="Verdana" w:hAnsi="Verdana"/>
          <w:sz w:val="22"/>
          <w:szCs w:val="22"/>
        </w:rPr>
      </w:pPr>
    </w:p>
    <w:p w:rsidR="00BB7B24" w:rsidRPr="007557B2" w:rsidP="000F09D4">
      <w:pPr>
        <w:tabs>
          <w:tab w:val="left" w:pos="9967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F3AC5">
      <w:r w:rsidRPr="004F3AC5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55950" cy="1115949"/>
                <wp:effectExtent l="0" t="0" r="6350" b="0"/>
                <wp:wrapSquare wrapText="bothSides"/>
                <wp:docPr id="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115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C5" w:rsidRPr="00F16760" w:rsidP="004F3AC5">
                            <w:pPr>
                              <w:ind w:hanging="142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1676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Public Equities: Shareholder Voting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width:248.5pt;height:33pt;margin-top:0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1552" stroked="f">
                <v:textbox style="mso-fit-shape-to-text:t">
                  <w:txbxContent>
                    <w:p w:rsidR="004F3AC5" w:rsidRPr="00F16760" w:rsidP="004F3AC5">
                      <w:pPr>
                        <w:ind w:hanging="142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16760">
                        <w:rPr>
                          <w:rFonts w:ascii="Verdana" w:hAnsi="Verdana"/>
                          <w:sz w:val="22"/>
                          <w:szCs w:val="22"/>
                        </w:rPr>
                        <w:t>Public Equities: Shareholder Voting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AC5"/>
    <w:p w:rsidR="004F3AC5">
      <w:r w:rsidRPr="004F3AC5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166369</wp:posOffset>
            </wp:positionV>
            <wp:extent cx="3872230" cy="93535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869515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85" cy="9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AC5"/>
    <w:p w:rsidR="004F3AC5"/>
    <w:p w:rsidR="00C77F62"/>
    <w:p w:rsidR="00424F21"/>
    <w:p w:rsidR="004F3AC5"/>
    <w:p w:rsidR="004F3AC5" w:rsidRPr="00F16760">
      <w:pPr>
        <w:rPr>
          <w:sz w:val="20"/>
          <w:szCs w:val="20"/>
        </w:rPr>
      </w:pPr>
    </w:p>
    <w:p w:rsidR="00F16760" w:rsidP="00A26039">
      <w:pPr>
        <w:rPr>
          <w:rFonts w:ascii="Verdana" w:hAnsi="Verdana"/>
          <w:b/>
          <w:bCs/>
          <w:sz w:val="20"/>
          <w:szCs w:val="20"/>
        </w:rPr>
      </w:pPr>
    </w:p>
    <w:p w:rsidR="000D5987" w:rsidRPr="000D5987" w:rsidP="000D5987">
      <w:pPr>
        <w:ind w:hanging="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Pr="000D5987">
        <w:rPr>
          <w:rFonts w:ascii="Verdana" w:hAnsi="Verdana"/>
          <w:sz w:val="22"/>
          <w:szCs w:val="22"/>
        </w:rPr>
        <w:t>Voting by Proposal Type</w:t>
      </w:r>
    </w:p>
    <w:p w:rsidR="000D5987" w:rsidRPr="000D5987" w:rsidP="000D5987">
      <w:pPr>
        <w:ind w:hanging="142"/>
        <w:rPr>
          <w:rFonts w:ascii="Verdana" w:hAnsi="Verdana"/>
          <w:sz w:val="22"/>
          <w:szCs w:val="22"/>
        </w:rPr>
      </w:pPr>
    </w:p>
    <w:p w:rsidR="000D5987" w:rsidP="00A26039">
      <w:pPr>
        <w:rPr>
          <w:rFonts w:ascii="Verdana" w:hAnsi="Verdana"/>
          <w:b/>
          <w:bCs/>
          <w:sz w:val="20"/>
          <w:szCs w:val="20"/>
        </w:rPr>
      </w:pPr>
    </w:p>
    <w:p w:rsidR="000D5987" w:rsidP="00A26039">
      <w:pPr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5362575" cy="1454785"/>
            <wp:effectExtent l="0" t="0" r="9525" b="0"/>
            <wp:docPr id="2" name="Picture 1">
              <a:extLst xmlns:a="http://schemas.openxmlformats.org/drawingml/2006/main">
                <a:ext xmlns:a="http://schemas.openxmlformats.org/drawingml/2006/main" uri="{FF2B5EF4-FFF2-40B4-BE49-F238E27FC236}">
                  <a16:creationId xmlns="" xmlns:a16="http://schemas.microsoft.com/office/drawing/2014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w16se="http://schemas.microsoft.com/office/word/2015/wordml/symex" id="{053575E3-EAB5-4F2D-B944-9C0B44CB7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931043" name="Picture 1"/>
                    <pic:cNvPicPr/>
                  </pic:nvPicPr>
                  <pic:blipFill rotWithShape="1">
                    <a:blip xmlns:r="http://schemas.openxmlformats.org/officeDocument/2006/relationships" r:embed="rId11"/>
                    <a:srcRect t="3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62125" cy="609600"/>
            <wp:effectExtent l="0" t="0" r="9525" b="0"/>
            <wp:docPr id="3" name="Picture 1">
              <a:extLst xmlns:a="http://schemas.openxmlformats.org/drawingml/2006/main">
                <a:ext xmlns:a="http://schemas.openxmlformats.org/drawingml/2006/main" uri="{FF2B5EF4-FFF2-40B4-BE49-F238E27FC236}">
                  <a16:creationId xmlns="" xmlns:a16="http://schemas.microsoft.com/office/drawing/2014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w16se="http://schemas.microsoft.com/office/word/2015/wordml/symex" id="{053575E3-EAB5-4F2D-B944-9C0B44CB7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601538" name="Picture 1"/>
                    <pic:cNvPicPr/>
                  </pic:nvPicPr>
                  <pic:blipFill rotWithShape="1">
                    <a:blip xmlns:r="http://schemas.openxmlformats.org/officeDocument/2006/relationships" r:embed="rId11"/>
                    <a:srcRect l="67140" b="72142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987" w:rsidP="00A26039">
      <w:pPr>
        <w:rPr>
          <w:rFonts w:ascii="Verdana" w:hAnsi="Verdana"/>
          <w:b/>
          <w:bCs/>
          <w:sz w:val="20"/>
          <w:szCs w:val="20"/>
        </w:rPr>
      </w:pPr>
    </w:p>
    <w:p w:rsidR="000D5987" w:rsidP="00A26039">
      <w:pPr>
        <w:rPr>
          <w:rFonts w:ascii="Verdana" w:hAnsi="Verdana"/>
          <w:b/>
          <w:bCs/>
          <w:sz w:val="22"/>
          <w:szCs w:val="22"/>
        </w:rPr>
      </w:pPr>
    </w:p>
    <w:p w:rsidR="000D5987" w:rsidRPr="000D5987" w:rsidP="000D5987">
      <w:pPr>
        <w:rPr>
          <w:rFonts w:ascii="Verdana" w:hAnsi="Verdana"/>
          <w:sz w:val="22"/>
          <w:szCs w:val="22"/>
        </w:rPr>
      </w:pPr>
      <w:r w:rsidRPr="000D5987">
        <w:rPr>
          <w:rFonts w:ascii="Verdana" w:hAnsi="Verdana"/>
          <w:sz w:val="22"/>
          <w:szCs w:val="22"/>
        </w:rPr>
        <w:t>Full details of shareholder voting in the period are available from the LPP website:</w:t>
      </w:r>
    </w:p>
    <w:p w:rsidR="000D5987" w:rsidRPr="00F16760" w:rsidP="000D5987">
      <w:pPr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"https://www.localpensionspartnership.org.uk/what-we-do/investment-management" </w:instrText>
      </w:r>
      <w:r>
        <w:fldChar w:fldCharType="separate"/>
      </w:r>
      <w:r w:rsidRPr="00EA4826">
        <w:rPr>
          <w:rStyle w:val="Hyperlink"/>
          <w:rFonts w:ascii="Verdana" w:hAnsi="Verdana"/>
          <w:b/>
          <w:bCs/>
          <w:sz w:val="20"/>
          <w:szCs w:val="20"/>
        </w:rPr>
        <w:t>https://www.localpensionspartnership.org.uk/what-we-do/investment-management</w:t>
      </w:r>
      <w:r>
        <w:fldChar w:fldCharType="end"/>
      </w:r>
    </w:p>
    <w:p w:rsidR="000D5987" w:rsidRPr="00F16760" w:rsidP="000D5987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0D5987">
      <w:pPr>
        <w:rPr>
          <w:rFonts w:ascii="Verdana" w:hAnsi="Verdana"/>
          <w:b/>
          <w:bCs/>
          <w:sz w:val="22"/>
          <w:szCs w:val="22"/>
        </w:rPr>
      </w:pPr>
    </w:p>
    <w:p w:rsidR="000D5987" w:rsidRPr="000D5987">
      <w:pPr>
        <w:rPr>
          <w:rFonts w:ascii="Verdana" w:hAnsi="Verdana"/>
          <w:sz w:val="20"/>
          <w:szCs w:val="20"/>
          <w:highlight w:val="lightGray"/>
        </w:rPr>
      </w:pPr>
      <w:r w:rsidRPr="000D5987">
        <w:rPr>
          <w:rFonts w:ascii="Verdana" w:hAnsi="Verdana"/>
          <w:sz w:val="20"/>
          <w:szCs w:val="20"/>
          <w:highlight w:val="lightGray"/>
        </w:rPr>
        <w:t xml:space="preserve">It is the intention is to add summary content on other asset classes </w:t>
      </w:r>
      <w:r w:rsidR="00A7350C">
        <w:rPr>
          <w:rFonts w:ascii="Verdana" w:hAnsi="Verdana"/>
          <w:sz w:val="20"/>
          <w:szCs w:val="20"/>
          <w:highlight w:val="lightGray"/>
        </w:rPr>
        <w:t xml:space="preserve">than listed equities </w:t>
      </w:r>
      <w:r>
        <w:rPr>
          <w:rFonts w:ascii="Verdana" w:hAnsi="Verdana"/>
          <w:sz w:val="20"/>
          <w:szCs w:val="20"/>
          <w:highlight w:val="lightGray"/>
        </w:rPr>
        <w:t>once</w:t>
      </w:r>
      <w:r w:rsidRPr="000D5987">
        <w:rPr>
          <w:rFonts w:ascii="Verdana" w:hAnsi="Verdana"/>
          <w:sz w:val="20"/>
          <w:szCs w:val="20"/>
          <w:highlight w:val="lightGray"/>
        </w:rPr>
        <w:t xml:space="preserve"> sufficient look-through is available to enable bottom-up details to be aggregated into </w:t>
      </w:r>
      <w:r>
        <w:rPr>
          <w:rFonts w:ascii="Verdana" w:hAnsi="Verdana"/>
          <w:sz w:val="20"/>
          <w:szCs w:val="20"/>
          <w:highlight w:val="lightGray"/>
        </w:rPr>
        <w:t xml:space="preserve">data on headline </w:t>
      </w:r>
      <w:r w:rsidRPr="000D5987">
        <w:rPr>
          <w:rFonts w:ascii="Verdana" w:hAnsi="Verdana"/>
          <w:sz w:val="20"/>
          <w:szCs w:val="20"/>
          <w:highlight w:val="lightGray"/>
        </w:rPr>
        <w:t>sectoral exposure</w:t>
      </w:r>
      <w:r>
        <w:rPr>
          <w:rFonts w:ascii="Verdana" w:hAnsi="Verdana"/>
          <w:sz w:val="20"/>
          <w:szCs w:val="20"/>
          <w:highlight w:val="lightGray"/>
        </w:rPr>
        <w:t>. This is a work in progress currently</w:t>
      </w:r>
      <w:r w:rsidRPr="000D5987">
        <w:rPr>
          <w:rFonts w:ascii="Verdana" w:hAnsi="Verdana"/>
          <w:sz w:val="20"/>
          <w:szCs w:val="20"/>
          <w:highlight w:val="lightGray"/>
        </w:rPr>
        <w:t xml:space="preserve">. </w:t>
      </w:r>
    </w:p>
    <w:p w:rsidR="000D5987">
      <w:pPr>
        <w:rPr>
          <w:rFonts w:ascii="Verdana" w:hAnsi="Verdana"/>
          <w:b/>
          <w:bCs/>
          <w:sz w:val="22"/>
          <w:szCs w:val="22"/>
        </w:rPr>
      </w:pPr>
    </w:p>
    <w:p w:rsidR="000D5987">
      <w:pPr>
        <w:rPr>
          <w:rFonts w:ascii="Verdana" w:hAnsi="Verdana"/>
          <w:b/>
          <w:bCs/>
          <w:sz w:val="22"/>
          <w:szCs w:val="22"/>
        </w:rPr>
      </w:pPr>
    </w:p>
    <w:p w:rsidR="000D5987" w:rsidP="000D5987">
      <w:pPr>
        <w:rPr>
          <w:rFonts w:ascii="Verdana" w:hAnsi="Verdana"/>
          <w:b/>
          <w:bCs/>
          <w:sz w:val="22"/>
          <w:szCs w:val="22"/>
        </w:rPr>
      </w:pPr>
    </w:p>
    <w:p w:rsidR="000D5987" w:rsidRPr="000D5987" w:rsidP="000D598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6795770</wp:posOffset>
            </wp:positionH>
            <wp:positionV relativeFrom="paragraph">
              <wp:posOffset>-11430</wp:posOffset>
            </wp:positionV>
            <wp:extent cx="1366520" cy="133540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365845" name="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987">
        <w:rPr>
          <w:rFonts w:ascii="Verdana" w:hAnsi="Verdana"/>
          <w:sz w:val="22"/>
          <w:szCs w:val="22"/>
        </w:rPr>
        <w:t xml:space="preserve">Spotlight </w:t>
      </w:r>
      <w:r>
        <w:rPr>
          <w:rFonts w:ascii="Verdana" w:hAnsi="Verdana"/>
          <w:sz w:val="22"/>
          <w:szCs w:val="22"/>
        </w:rPr>
        <w:t>on Sustainability</w:t>
      </w:r>
    </w:p>
    <w:p w:rsidR="000D5987">
      <w:pPr>
        <w:rPr>
          <w:rFonts w:ascii="Verdana" w:hAnsi="Verdana"/>
          <w:b/>
          <w:sz w:val="20"/>
          <w:szCs w:val="20"/>
        </w:rPr>
      </w:pPr>
    </w:p>
    <w:p w:rsidR="000D5987" w:rsidRPr="000D5987">
      <w:pPr>
        <w:rPr>
          <w:rFonts w:ascii="Verdana" w:hAnsi="Verdana"/>
          <w:sz w:val="22"/>
          <w:szCs w:val="22"/>
          <w:u w:val="single"/>
        </w:rPr>
      </w:pPr>
      <w:r w:rsidRPr="000D5987">
        <w:rPr>
          <w:rFonts w:ascii="Verdana" w:hAnsi="Verdana"/>
          <w:sz w:val="22"/>
          <w:szCs w:val="22"/>
          <w:u w:val="single"/>
        </w:rPr>
        <w:t>Guild Investments Ltd</w:t>
      </w:r>
    </w:p>
    <w:p w:rsidR="000D5987" w:rsidRPr="000D5987">
      <w:pPr>
        <w:rPr>
          <w:rFonts w:ascii="Verdana" w:hAnsi="Verdana"/>
          <w:sz w:val="22"/>
          <w:szCs w:val="22"/>
        </w:rPr>
      </w:pPr>
      <w:r w:rsidRPr="000D5987">
        <w:rPr>
          <w:rFonts w:ascii="Verdana" w:hAnsi="Verdana"/>
          <w:sz w:val="22"/>
          <w:szCs w:val="22"/>
        </w:rPr>
        <w:t xml:space="preserve">Asset Class: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D5987">
        <w:rPr>
          <w:rFonts w:ascii="Verdana" w:hAnsi="Verdana"/>
          <w:sz w:val="22"/>
          <w:szCs w:val="22"/>
        </w:rPr>
        <w:t>Infrastructure</w:t>
      </w:r>
    </w:p>
    <w:p w:rsidR="000D5987" w:rsidRPr="000D59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Investment </w:t>
      </w:r>
      <w:r w:rsidRPr="000D5987">
        <w:rPr>
          <w:rFonts w:ascii="Verdana" w:hAnsi="Verdana"/>
          <w:sz w:val="22"/>
          <w:szCs w:val="22"/>
        </w:rPr>
        <w:t xml:space="preserve">Vehicle: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D5987">
        <w:rPr>
          <w:rFonts w:ascii="Verdana" w:hAnsi="Verdana"/>
          <w:sz w:val="22"/>
          <w:szCs w:val="22"/>
        </w:rPr>
        <w:t>LPP I Global Infrastructure Fund</w:t>
      </w:r>
      <w:r>
        <w:rPr>
          <w:rFonts w:ascii="Verdana" w:hAnsi="Verdana"/>
          <w:sz w:val="22"/>
          <w:szCs w:val="22"/>
        </w:rPr>
        <w:t xml:space="preserve"> (GIF)</w:t>
      </w:r>
    </w:p>
    <w:p w:rsidR="000D5987">
      <w:pPr>
        <w:rPr>
          <w:rFonts w:ascii="Verdana" w:hAnsi="Verdana"/>
          <w:sz w:val="22"/>
          <w:szCs w:val="22"/>
        </w:rPr>
      </w:pPr>
      <w:r w:rsidRPr="000D5987">
        <w:rPr>
          <w:rFonts w:ascii="Verdana" w:hAnsi="Verdana"/>
          <w:sz w:val="22"/>
          <w:szCs w:val="22"/>
        </w:rPr>
        <w:t xml:space="preserve">Asset Type: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Onshore w</w:t>
      </w:r>
      <w:r w:rsidRPr="000D5987">
        <w:rPr>
          <w:rFonts w:ascii="Verdana" w:hAnsi="Verdana"/>
          <w:sz w:val="22"/>
          <w:szCs w:val="22"/>
        </w:rPr>
        <w:t>ind</w:t>
      </w:r>
      <w:r>
        <w:rPr>
          <w:rFonts w:ascii="Verdana" w:hAnsi="Verdana"/>
          <w:sz w:val="22"/>
          <w:szCs w:val="22"/>
        </w:rPr>
        <w:t>farms in Portugal</w:t>
      </w:r>
    </w:p>
    <w:p w:rsidR="000D59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Value of LCPF Investment: </w:t>
      </w:r>
      <w:r>
        <w:rPr>
          <w:rFonts w:ascii="Verdana" w:hAnsi="Verdana"/>
          <w:sz w:val="22"/>
          <w:szCs w:val="22"/>
        </w:rPr>
        <w:tab/>
        <w:t>£</w:t>
      </w:r>
      <w:r>
        <w:rPr>
          <w:rFonts w:ascii="Verdana" w:hAnsi="Verdana"/>
          <w:sz w:val="22"/>
          <w:szCs w:val="22"/>
        </w:rPr>
        <w:t>xm</w:t>
      </w:r>
      <w:r>
        <w:rPr>
          <w:rFonts w:ascii="Verdana" w:hAnsi="Verdana"/>
          <w:sz w:val="22"/>
          <w:szCs w:val="22"/>
        </w:rPr>
        <w:t xml:space="preserve"> </w:t>
      </w:r>
    </w:p>
    <w:p w:rsidR="000D5987">
      <w:pPr>
        <w:rPr>
          <w:rFonts w:ascii="Verdana" w:hAnsi="Verdana"/>
          <w:sz w:val="22"/>
          <w:szCs w:val="22"/>
        </w:rPr>
      </w:pPr>
    </w:p>
    <w:p w:rsidR="000D59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Brief Commentary: </w:t>
      </w:r>
    </w:p>
    <w:p w:rsidR="000D5987" w:rsidRPr="000D5987" w:rsidP="000D59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Through it’s investment in the LPP I Global Infrastructure Fund, LCPF is providing direct funding for clean and renewable energy generation in Portugal. Under a long-term partnership with EDF Energies Nouvelles, LPP I GIF owns a significant minority equity stake in a </w:t>
      </w:r>
      <w:r w:rsidRPr="000D5987">
        <w:rPr>
          <w:rFonts w:ascii="Verdana" w:hAnsi="Verdana"/>
          <w:sz w:val="22"/>
          <w:szCs w:val="22"/>
        </w:rPr>
        <w:t>portfolio of eight onshore wind farms in Northern Portugal</w:t>
      </w:r>
      <w:r>
        <w:rPr>
          <w:rFonts w:ascii="Verdana" w:hAnsi="Verdana"/>
          <w:sz w:val="22"/>
          <w:szCs w:val="22"/>
        </w:rPr>
        <w:t>.</w:t>
      </w:r>
      <w:r w:rsidRPr="000D598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</w:t>
      </w:r>
      <w:r w:rsidRPr="000D5987">
        <w:rPr>
          <w:rFonts w:ascii="Verdana" w:hAnsi="Verdana"/>
          <w:sz w:val="22"/>
          <w:szCs w:val="22"/>
        </w:rPr>
        <w:t>ith a gross capacity of around 500MW</w:t>
      </w:r>
      <w:r>
        <w:rPr>
          <w:rFonts w:ascii="Verdana" w:hAnsi="Verdana"/>
          <w:sz w:val="22"/>
          <w:szCs w:val="22"/>
        </w:rPr>
        <w:t xml:space="preserve"> this</w:t>
      </w:r>
      <w:r w:rsidRPr="000D5987">
        <w:rPr>
          <w:rFonts w:ascii="Verdana" w:hAnsi="Verdana"/>
          <w:sz w:val="22"/>
          <w:szCs w:val="22"/>
        </w:rPr>
        <w:t xml:space="preserve"> rank</w:t>
      </w:r>
      <w:r>
        <w:rPr>
          <w:rFonts w:ascii="Verdana" w:hAnsi="Verdana"/>
          <w:sz w:val="22"/>
          <w:szCs w:val="22"/>
        </w:rPr>
        <w:t>s</w:t>
      </w:r>
      <w:r w:rsidRPr="000D5987">
        <w:rPr>
          <w:rFonts w:ascii="Verdana" w:hAnsi="Verdana"/>
          <w:sz w:val="22"/>
          <w:szCs w:val="22"/>
        </w:rPr>
        <w:t xml:space="preserve"> among the top five wind platforms in </w:t>
      </w:r>
      <w:r>
        <w:rPr>
          <w:rFonts w:ascii="Verdana" w:hAnsi="Verdana"/>
          <w:sz w:val="22"/>
          <w:szCs w:val="22"/>
        </w:rPr>
        <w:t>the country</w:t>
      </w:r>
      <w:r w:rsidRPr="000D598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0D5987">
        <w:rPr>
          <w:rFonts w:ascii="Verdana" w:hAnsi="Verdana"/>
          <w:sz w:val="22"/>
          <w:szCs w:val="22"/>
        </w:rPr>
        <w:t>Portugal is an attractive location for wind farm installations, having a windy terrain, a stable feed-in-tariff regime and the support of local communities.</w:t>
      </w:r>
    </w:p>
    <w:p w:rsidR="000D5987">
      <w:pPr>
        <w:rPr>
          <w:rFonts w:ascii="Verdana" w:hAnsi="Verdana"/>
          <w:sz w:val="22"/>
          <w:szCs w:val="22"/>
        </w:rPr>
      </w:pPr>
    </w:p>
    <w:p w:rsidR="000D598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investment primarily targets </w:t>
      </w:r>
      <w:r w:rsidRPr="000D5987">
        <w:rPr>
          <w:rFonts w:ascii="Verdana" w:hAnsi="Verdana"/>
          <w:sz w:val="22"/>
          <w:szCs w:val="22"/>
        </w:rPr>
        <w:t xml:space="preserve">reliable long-term income yields which match the long-term liabilities of client pension funds </w:t>
      </w:r>
      <w:r>
        <w:rPr>
          <w:rFonts w:ascii="Verdana" w:hAnsi="Verdana"/>
          <w:sz w:val="22"/>
          <w:szCs w:val="22"/>
        </w:rPr>
        <w:t>but</w:t>
      </w:r>
      <w:r w:rsidRPr="000D5987">
        <w:rPr>
          <w:rFonts w:ascii="Verdana" w:hAnsi="Verdana"/>
          <w:sz w:val="22"/>
          <w:szCs w:val="22"/>
        </w:rPr>
        <w:t xml:space="preserve"> is simultaneously assisting the transition to renewable </w:t>
      </w:r>
      <w:r>
        <w:rPr>
          <w:rFonts w:ascii="Verdana" w:hAnsi="Verdana"/>
          <w:sz w:val="22"/>
          <w:szCs w:val="22"/>
        </w:rPr>
        <w:t xml:space="preserve">forms of </w:t>
      </w:r>
      <w:r w:rsidRPr="000D5987">
        <w:rPr>
          <w:rFonts w:ascii="Verdana" w:hAnsi="Verdana"/>
          <w:sz w:val="22"/>
          <w:szCs w:val="22"/>
        </w:rPr>
        <w:t xml:space="preserve">energy essential for achieving </w:t>
      </w:r>
      <w:r>
        <w:rPr>
          <w:rFonts w:ascii="Verdana" w:hAnsi="Verdana"/>
          <w:sz w:val="22"/>
          <w:szCs w:val="22"/>
        </w:rPr>
        <w:t xml:space="preserve">global </w:t>
      </w:r>
      <w:r w:rsidRPr="000D5987">
        <w:rPr>
          <w:rFonts w:ascii="Verdana" w:hAnsi="Verdana"/>
          <w:sz w:val="22"/>
          <w:szCs w:val="22"/>
        </w:rPr>
        <w:t>emission</w:t>
      </w:r>
      <w:r>
        <w:rPr>
          <w:rFonts w:ascii="Verdana" w:hAnsi="Verdana"/>
          <w:sz w:val="22"/>
          <w:szCs w:val="22"/>
        </w:rPr>
        <w:t>s</w:t>
      </w:r>
      <w:r w:rsidRPr="000D5987">
        <w:rPr>
          <w:rFonts w:ascii="Verdana" w:hAnsi="Verdana"/>
          <w:sz w:val="22"/>
          <w:szCs w:val="22"/>
        </w:rPr>
        <w:t xml:space="preserve"> reduction targets under the Paris Agreement</w:t>
      </w:r>
      <w:r>
        <w:rPr>
          <w:rFonts w:ascii="Verdana" w:hAnsi="Verdana"/>
          <w:sz w:val="22"/>
          <w:szCs w:val="22"/>
        </w:rPr>
        <w:t xml:space="preserve"> and progress against United Nations Sustainable Development Goal 7 which aims to ensure access to affordable, reliable, sustainable and modern energy for all by 2030.</w:t>
      </w:r>
    </w:p>
    <w:p w:rsidR="000D5987">
      <w:pPr>
        <w:rPr>
          <w:rFonts w:ascii="Verdana" w:hAnsi="Verdana"/>
          <w:sz w:val="22"/>
          <w:szCs w:val="22"/>
        </w:rPr>
      </w:pPr>
    </w:p>
    <w:p w:rsidR="000D5987" w:rsidRPr="000D5987" w:rsidP="000D59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lightGray"/>
        </w:rPr>
        <w:t xml:space="preserve">A sustainability section has been added to address the </w:t>
      </w:r>
      <w:r w:rsidRPr="000D5987">
        <w:rPr>
          <w:rFonts w:ascii="Verdana" w:hAnsi="Verdana"/>
          <w:sz w:val="20"/>
          <w:szCs w:val="20"/>
          <w:highlight w:val="lightGray"/>
        </w:rPr>
        <w:t>R</w:t>
      </w:r>
      <w:r w:rsidR="0062207F">
        <w:rPr>
          <w:rFonts w:ascii="Verdana" w:hAnsi="Verdana"/>
          <w:sz w:val="20"/>
          <w:szCs w:val="20"/>
          <w:highlight w:val="lightGray"/>
        </w:rPr>
        <w:t>esponsible Investment Working Group</w:t>
      </w:r>
      <w:r w:rsidRPr="000D5987">
        <w:rPr>
          <w:rFonts w:ascii="Verdana" w:hAnsi="Verdana"/>
          <w:sz w:val="20"/>
          <w:szCs w:val="20"/>
          <w:highlight w:val="lightGray"/>
        </w:rPr>
        <w:t>’s request (on behalf of the PFC) for better inf</w:t>
      </w:r>
      <w:bookmarkStart w:id="0" w:name="_GoBack"/>
      <w:bookmarkEnd w:id="0"/>
      <w:r w:rsidRPr="000D5987">
        <w:rPr>
          <w:rFonts w:ascii="Verdana" w:hAnsi="Verdana"/>
          <w:sz w:val="20"/>
          <w:szCs w:val="20"/>
          <w:highlight w:val="lightGray"/>
        </w:rPr>
        <w:t>ormation on what the fund is invested in and how it is contributing to wider social benefits.</w:t>
      </w:r>
      <w:r>
        <w:rPr>
          <w:rFonts w:ascii="Verdana" w:hAnsi="Verdana"/>
          <w:sz w:val="20"/>
          <w:szCs w:val="20"/>
          <w:highlight w:val="lightGray"/>
        </w:rPr>
        <w:t xml:space="preserve"> The suggested s</w:t>
      </w:r>
      <w:r w:rsidRPr="000D5987">
        <w:rPr>
          <w:rFonts w:ascii="Verdana" w:hAnsi="Verdana"/>
          <w:sz w:val="20"/>
          <w:szCs w:val="20"/>
          <w:highlight w:val="lightGray"/>
        </w:rPr>
        <w:t xml:space="preserve">ection </w:t>
      </w:r>
      <w:r>
        <w:rPr>
          <w:rFonts w:ascii="Verdana" w:hAnsi="Verdana"/>
          <w:sz w:val="20"/>
          <w:szCs w:val="20"/>
          <w:highlight w:val="lightGray"/>
        </w:rPr>
        <w:t xml:space="preserve">would </w:t>
      </w:r>
      <w:r w:rsidRPr="000D5987">
        <w:rPr>
          <w:rFonts w:ascii="Verdana" w:hAnsi="Verdana"/>
          <w:sz w:val="20"/>
          <w:szCs w:val="20"/>
          <w:highlight w:val="lightGray"/>
        </w:rPr>
        <w:t>focu</w:t>
      </w:r>
      <w:r>
        <w:rPr>
          <w:rFonts w:ascii="Verdana" w:hAnsi="Verdana"/>
          <w:sz w:val="20"/>
          <w:szCs w:val="20"/>
          <w:highlight w:val="lightGray"/>
        </w:rPr>
        <w:t>s</w:t>
      </w:r>
      <w:r w:rsidRPr="000D5987">
        <w:rPr>
          <w:rFonts w:ascii="Verdana" w:hAnsi="Verdana"/>
          <w:sz w:val="20"/>
          <w:szCs w:val="20"/>
          <w:highlight w:val="lightGray"/>
        </w:rPr>
        <w:t xml:space="preserve"> on one specific investment (outside listed equities) each quarter</w:t>
      </w:r>
      <w:r>
        <w:rPr>
          <w:rFonts w:ascii="Verdana" w:hAnsi="Verdana"/>
          <w:sz w:val="20"/>
          <w:szCs w:val="20"/>
          <w:highlight w:val="lightGray"/>
        </w:rPr>
        <w:t xml:space="preserve"> to offer </w:t>
      </w:r>
      <w:r w:rsidR="00A7350C">
        <w:rPr>
          <w:rFonts w:ascii="Verdana" w:hAnsi="Verdana"/>
          <w:sz w:val="20"/>
          <w:szCs w:val="20"/>
          <w:highlight w:val="lightGray"/>
        </w:rPr>
        <w:t xml:space="preserve">a </w:t>
      </w:r>
      <w:r>
        <w:rPr>
          <w:rFonts w:ascii="Verdana" w:hAnsi="Verdana"/>
          <w:sz w:val="20"/>
          <w:szCs w:val="20"/>
          <w:highlight w:val="lightGray"/>
        </w:rPr>
        <w:t>bite</w:t>
      </w:r>
      <w:r w:rsidR="00A7350C">
        <w:rPr>
          <w:rFonts w:ascii="Verdana" w:hAnsi="Verdana"/>
          <w:sz w:val="20"/>
          <w:szCs w:val="20"/>
          <w:highlight w:val="lightGray"/>
        </w:rPr>
        <w:t>-</w:t>
      </w:r>
      <w:r>
        <w:rPr>
          <w:rFonts w:ascii="Verdana" w:hAnsi="Verdana"/>
          <w:sz w:val="20"/>
          <w:szCs w:val="20"/>
          <w:highlight w:val="lightGray"/>
        </w:rPr>
        <w:t>size</w:t>
      </w:r>
      <w:r w:rsidR="00A7350C">
        <w:rPr>
          <w:rFonts w:ascii="Verdana" w:hAnsi="Verdana"/>
          <w:sz w:val="20"/>
          <w:szCs w:val="20"/>
          <w:highlight w:val="lightGray"/>
        </w:rPr>
        <w:t>d summary of</w:t>
      </w:r>
      <w:r>
        <w:rPr>
          <w:rFonts w:ascii="Verdana" w:hAnsi="Verdana"/>
          <w:sz w:val="20"/>
          <w:szCs w:val="20"/>
          <w:highlight w:val="lightGray"/>
        </w:rPr>
        <w:t xml:space="preserve"> an</w:t>
      </w:r>
      <w:r w:rsidRPr="000D5987">
        <w:rPr>
          <w:rFonts w:ascii="Verdana" w:hAnsi="Verdana"/>
          <w:sz w:val="20"/>
          <w:szCs w:val="20"/>
          <w:highlight w:val="lightGray"/>
        </w:rPr>
        <w:t xml:space="preserve"> investment with </w:t>
      </w:r>
      <w:r>
        <w:rPr>
          <w:rFonts w:ascii="Verdana" w:hAnsi="Verdana"/>
          <w:sz w:val="20"/>
          <w:szCs w:val="20"/>
          <w:highlight w:val="lightGray"/>
        </w:rPr>
        <w:t xml:space="preserve">clear </w:t>
      </w:r>
      <w:r w:rsidRPr="000D5987">
        <w:rPr>
          <w:rFonts w:ascii="Verdana" w:hAnsi="Verdana"/>
          <w:sz w:val="20"/>
          <w:szCs w:val="20"/>
          <w:highlight w:val="lightGray"/>
        </w:rPr>
        <w:t xml:space="preserve">sustainability characteristics. </w:t>
      </w:r>
    </w:p>
    <w:p w:rsidR="000D5987">
      <w:pPr>
        <w:rPr>
          <w:rFonts w:ascii="Verdana" w:hAnsi="Verdana"/>
          <w:sz w:val="22"/>
          <w:szCs w:val="22"/>
        </w:rPr>
      </w:pPr>
    </w:p>
    <w:p w:rsidR="000D5987" w:rsidP="000D5987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>
            <wp:extent cx="6591300" cy="3171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324915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987">
      <w:pPr>
        <w:rPr>
          <w:rFonts w:ascii="Verdana" w:hAnsi="Verdana"/>
          <w:sz w:val="22"/>
          <w:szCs w:val="22"/>
        </w:rPr>
      </w:pPr>
    </w:p>
    <w:p w:rsidR="000D5987" w:rsidP="000D5987">
      <w:pPr>
        <w:rPr>
          <w:rFonts w:ascii="Verdana" w:hAnsi="Verdana"/>
          <w:sz w:val="20"/>
          <w:szCs w:val="20"/>
          <w:highlight w:val="lightGray"/>
        </w:rPr>
      </w:pPr>
    </w:p>
    <w:p w:rsidR="000D5987" w:rsidRPr="000D5987">
      <w:pPr>
        <w:rPr>
          <w:rFonts w:ascii="Verdana" w:hAnsi="Verdana"/>
          <w:sz w:val="22"/>
          <w:szCs w:val="22"/>
        </w:rPr>
      </w:pPr>
    </w:p>
    <w:sectPr w:rsidSect="000D5987">
      <w:headerReference w:type="default" r:id="rId14"/>
      <w:pgSz w:w="16838" w:h="11906" w:orient="landscape"/>
      <w:pgMar w:top="1843" w:right="1440" w:bottom="1276" w:left="1440" w:header="42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3AC5" w:rsidRPr="00F1417E" w:rsidP="00886494">
    <w:pPr>
      <w:pStyle w:val="Header"/>
      <w:rPr>
        <w:rFonts w:ascii="Verdana" w:hAnsi="Verdana"/>
      </w:rPr>
    </w:pPr>
    <w:sdt>
      <w:sdtPr>
        <w:rPr>
          <w:rFonts w:ascii="Verdana" w:hAnsi="Verdana"/>
        </w:rPr>
        <w:id w:val="-674109293"/>
        <w:docPartObj>
          <w:docPartGallery w:val="Watermarks"/>
          <w:docPartUnique/>
        </w:docPartObj>
      </w:sdtPr>
      <w:sdtContent>
        <w:r>
          <w:rPr>
            <w:rFonts w:ascii="Verdana" w:hAnsi="Verdana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sdtContent>
    </w:sdt>
    <w:r w:rsidRPr="00F1417E" w:rsidR="00E1137B">
      <w:rPr>
        <w:rFonts w:ascii="Verdana" w:hAnsi="Verdana"/>
      </w:rPr>
      <w:t>Re</w:t>
    </w:r>
    <w:r w:rsidR="00E1137B">
      <w:rPr>
        <w:rFonts w:ascii="Verdana" w:hAnsi="Verdana"/>
      </w:rPr>
      <w:t>port on Responsible Investment</w:t>
    </w:r>
  </w:p>
  <w:p w:rsidR="00E1137B" w:rsidP="00130B23">
    <w:pPr>
      <w:pStyle w:val="Header"/>
      <w:rPr>
        <w:rFonts w:ascii="Verdana" w:hAnsi="Verdana"/>
      </w:rPr>
    </w:pPr>
    <w:r w:rsidRPr="00F1417E">
      <w:rPr>
        <w:rFonts w:ascii="Verdana" w:hAnsi="Verdana"/>
        <w:color w:val="000000" w:themeColor="text1"/>
      </w:rPr>
      <w:t>Lancashire County Pension Fund</w:t>
    </w:r>
    <w:r w:rsidRPr="00E1137B">
      <w:rPr>
        <w:rFonts w:ascii="Verdana" w:hAnsi="Verdana"/>
      </w:rPr>
      <w:t xml:space="preserve"> </w:t>
    </w:r>
    <w:r>
      <w:rPr>
        <w:rFonts w:ascii="Verdana" w:hAnsi="Verdana"/>
      </w:rPr>
      <w:t xml:space="preserve">      </w:t>
    </w:r>
  </w:p>
  <w:p w:rsidR="005879C1" w:rsidRPr="00127AA2" w:rsidP="00130B23">
    <w:pPr>
      <w:pStyle w:val="Header"/>
      <w:rPr>
        <w:rFonts w:ascii="Verdana" w:hAnsi="Verdana"/>
        <w:color w:val="000000" w:themeColor="text1"/>
      </w:rPr>
    </w:pPr>
    <w:r w:rsidRPr="00F1417E">
      <w:rPr>
        <w:rFonts w:ascii="Verdana" w:hAnsi="Verdana"/>
      </w:rPr>
      <w:t>201</w:t>
    </w:r>
    <w:r w:rsidR="000D5987">
      <w:rPr>
        <w:rFonts w:ascii="Verdana" w:hAnsi="Verdana"/>
      </w:rPr>
      <w:t>8</w:t>
    </w:r>
    <w:r w:rsidRPr="00F1417E">
      <w:rPr>
        <w:rFonts w:ascii="Verdana" w:hAnsi="Verdana"/>
      </w:rPr>
      <w:t xml:space="preserve"> Quarter </w:t>
    </w:r>
    <w:r w:rsidR="000D5987">
      <w:rPr>
        <w:rFonts w:ascii="Verdana" w:hAnsi="Verdana"/>
      </w:rPr>
      <w:t>X</w:t>
    </w:r>
    <w:r w:rsidR="007B0914">
      <w:rPr>
        <w:rFonts w:ascii="Verdana" w:hAnsi="Verdana"/>
      </w:rPr>
      <w:t xml:space="preserve"> (Position at </w:t>
    </w:r>
    <w:r w:rsidR="000D5987">
      <w:rPr>
        <w:rFonts w:ascii="Verdana" w:hAnsi="Verdana"/>
      </w:rPr>
      <w:t>[Date/Month]</w:t>
    </w:r>
    <w:r w:rsidR="007B0914">
      <w:rPr>
        <w:rFonts w:ascii="Verdana" w:hAnsi="Verdana"/>
      </w:rPr>
      <w:t xml:space="preserve"> 201</w:t>
    </w:r>
    <w:r w:rsidR="000D5987">
      <w:rPr>
        <w:rFonts w:ascii="Verdana" w:hAnsi="Verdana"/>
      </w:rPr>
      <w:t>8</w:t>
    </w:r>
    <w:r w:rsidR="007B0914">
      <w:rPr>
        <w:rFonts w:ascii="Verdana" w:hAnsi="Verdana"/>
      </w:rPr>
      <w:t>)</w:t>
    </w:r>
  </w:p>
  <w:p w:rsidR="008E49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0633F1E"/>
    <w:multiLevelType w:val="multilevel"/>
    <w:tmpl w:val="376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C3517"/>
    <w:multiLevelType w:val="multilevel"/>
    <w:tmpl w:val="DADC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0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0B2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30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0B23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27A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F3AC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9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emf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header" Target="header1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0BA6-A412-4A4C-85A1-FDCE22FC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Deakin, Frances</dc:creator>
  <cp:lastModifiedBy>Neville, Mike</cp:lastModifiedBy>
  <cp:revision>2</cp:revision>
  <dcterms:created xsi:type="dcterms:W3CDTF">2018-03-01T08:13:00Z</dcterms:created>
  <dcterms:modified xsi:type="dcterms:W3CDTF">2018-03-01T08:13:00Z</dcterms:modified>
</cp:coreProperties>
</file>